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63" w:rsidRPr="00C73563" w:rsidRDefault="00C73563" w:rsidP="00C73563">
      <w:pPr>
        <w:shd w:val="clear" w:color="auto" w:fill="FFFFFF"/>
        <w:spacing w:after="0" w:line="240" w:lineRule="auto"/>
        <w:rPr>
          <w:rFonts w:ascii="Times New Roman" w:eastAsia="Times New Roman" w:hAnsi="Times New Roman" w:cs="Times New Roman"/>
          <w:color w:val="212121"/>
          <w:sz w:val="24"/>
          <w:szCs w:val="24"/>
          <w:lang w:eastAsia="en-NZ"/>
        </w:rPr>
      </w:pPr>
      <w:r w:rsidRPr="00C73563">
        <w:rPr>
          <w:rFonts w:ascii="Arial" w:eastAsia="Times New Roman" w:hAnsi="Arial" w:cs="Arial"/>
          <w:color w:val="1F497D"/>
          <w:sz w:val="20"/>
          <w:szCs w:val="20"/>
          <w:lang w:eastAsia="en-NZ"/>
        </w:rPr>
        <w:t>Hi Amy,</w:t>
      </w:r>
    </w:p>
    <w:p w:rsidR="00C73563" w:rsidRPr="00C73563" w:rsidRDefault="00C73563" w:rsidP="00C73563">
      <w:pPr>
        <w:shd w:val="clear" w:color="auto" w:fill="FFFFFF"/>
        <w:spacing w:after="0" w:line="240" w:lineRule="auto"/>
        <w:rPr>
          <w:rFonts w:ascii="Times New Roman" w:eastAsia="Times New Roman" w:hAnsi="Times New Roman" w:cs="Times New Roman"/>
          <w:color w:val="212121"/>
          <w:sz w:val="24"/>
          <w:szCs w:val="24"/>
          <w:lang w:eastAsia="en-NZ"/>
        </w:rPr>
      </w:pPr>
      <w:r w:rsidRPr="00C73563">
        <w:rPr>
          <w:rFonts w:ascii="Arial" w:eastAsia="Times New Roman" w:hAnsi="Arial" w:cs="Arial"/>
          <w:color w:val="1F497D"/>
          <w:sz w:val="20"/>
          <w:szCs w:val="20"/>
          <w:lang w:eastAsia="en-NZ"/>
        </w:rPr>
        <w:t> </w:t>
      </w:r>
    </w:p>
    <w:p w:rsidR="00C73563" w:rsidRPr="00C73563" w:rsidRDefault="00C73563" w:rsidP="00C73563">
      <w:pPr>
        <w:shd w:val="clear" w:color="auto" w:fill="FFFFFF"/>
        <w:spacing w:after="0" w:line="240" w:lineRule="auto"/>
        <w:rPr>
          <w:rFonts w:ascii="Times New Roman" w:eastAsia="Times New Roman" w:hAnsi="Times New Roman" w:cs="Times New Roman"/>
          <w:color w:val="212121"/>
          <w:sz w:val="24"/>
          <w:szCs w:val="24"/>
          <w:lang w:eastAsia="en-NZ"/>
        </w:rPr>
      </w:pPr>
      <w:r w:rsidRPr="00C73563">
        <w:rPr>
          <w:rFonts w:ascii="Arial" w:eastAsia="Times New Roman" w:hAnsi="Arial" w:cs="Arial"/>
          <w:color w:val="1F497D"/>
          <w:sz w:val="20"/>
          <w:szCs w:val="20"/>
          <w:lang w:eastAsia="en-NZ"/>
        </w:rPr>
        <w:t xml:space="preserve">I have been passed your query.  There are specific issues I can help you with if you are only carrying out nail operations.  If you are piercing the skin, i.e. tattooing, waxing, </w:t>
      </w:r>
      <w:proofErr w:type="spellStart"/>
      <w:r w:rsidRPr="00C73563">
        <w:rPr>
          <w:rFonts w:ascii="Arial" w:eastAsia="Times New Roman" w:hAnsi="Arial" w:cs="Arial"/>
          <w:color w:val="1F497D"/>
          <w:sz w:val="20"/>
          <w:szCs w:val="20"/>
          <w:lang w:eastAsia="en-NZ"/>
        </w:rPr>
        <w:t>etc</w:t>
      </w:r>
      <w:proofErr w:type="spellEnd"/>
      <w:r w:rsidRPr="00C73563">
        <w:rPr>
          <w:rFonts w:ascii="Arial" w:eastAsia="Times New Roman" w:hAnsi="Arial" w:cs="Arial"/>
          <w:color w:val="1F497D"/>
          <w:sz w:val="20"/>
          <w:szCs w:val="20"/>
          <w:lang w:eastAsia="en-NZ"/>
        </w:rPr>
        <w:t xml:space="preserve"> then other requirements will apply.  But for manicures the below requirements are needed for the license to be approved:</w:t>
      </w:r>
    </w:p>
    <w:p w:rsidR="00C73563" w:rsidRPr="00C73563" w:rsidRDefault="00C73563" w:rsidP="00C73563">
      <w:pPr>
        <w:shd w:val="clear" w:color="auto" w:fill="FFFFFF"/>
        <w:spacing w:after="0" w:line="240" w:lineRule="auto"/>
        <w:rPr>
          <w:rFonts w:ascii="Times New Roman" w:eastAsia="Times New Roman" w:hAnsi="Times New Roman" w:cs="Times New Roman"/>
          <w:color w:val="212121"/>
          <w:sz w:val="24"/>
          <w:szCs w:val="24"/>
          <w:lang w:eastAsia="en-NZ"/>
        </w:rPr>
      </w:pPr>
      <w:r w:rsidRPr="00C73563">
        <w:rPr>
          <w:rFonts w:ascii="Arial" w:eastAsia="Times New Roman" w:hAnsi="Arial" w:cs="Arial"/>
          <w:color w:val="1F497D"/>
          <w:sz w:val="20"/>
          <w:szCs w:val="20"/>
          <w:lang w:eastAsia="en-NZ"/>
        </w:rPr>
        <w:t> </w:t>
      </w: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42"/>
        <w:gridCol w:w="4474"/>
      </w:tblGrid>
      <w:tr w:rsidR="00C73563" w:rsidRPr="00C73563" w:rsidTr="00C73563">
        <w:trPr>
          <w:trHeight w:val="31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Licensed</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Appropriately licensed</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459"/>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General maintenance and repair</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Premises , fixtures and fitting in good repair and easy to clean</w:t>
            </w:r>
          </w:p>
        </w:tc>
      </w:tr>
      <w:tr w:rsidR="00C73563" w:rsidRPr="00C73563" w:rsidTr="00C73563">
        <w:trPr>
          <w:trHeight w:val="52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General cleanliness</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Premises, fixtures and fitting kept cleaned to a high standard</w:t>
            </w:r>
          </w:p>
        </w:tc>
      </w:tr>
      <w:tr w:rsidR="00C73563" w:rsidRPr="00C73563" w:rsidTr="00C73563">
        <w:trPr>
          <w:trHeight w:val="341"/>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Floors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Maintained</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282"/>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eastAsia="en-NZ"/>
              </w:rPr>
              <w:t>Floors</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160" w:hanging="216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Smooth</w:t>
            </w:r>
          </w:p>
          <w:p w:rsidR="00C73563" w:rsidRPr="00C73563" w:rsidRDefault="00C73563" w:rsidP="00C73563">
            <w:pPr>
              <w:spacing w:after="0" w:line="240" w:lineRule="auto"/>
              <w:ind w:hanging="2160"/>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388"/>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160" w:hanging="216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Impervious (wet areas only)</w:t>
            </w:r>
            <w:bookmarkStart w:id="0" w:name="_GoBack"/>
            <w:bookmarkEnd w:id="0"/>
          </w:p>
          <w:p w:rsidR="00C73563" w:rsidRPr="00C73563" w:rsidRDefault="00C73563" w:rsidP="00C73563">
            <w:pPr>
              <w:spacing w:after="0" w:line="240" w:lineRule="auto"/>
              <w:ind w:hanging="2160"/>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32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160" w:hanging="216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Graded and drained (wet areas only)</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44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160" w:hanging="216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Disinfected every 24 hours (wet areas only)</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35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Walls and ceiling</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720" w:hanging="72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Impervious and cleanable (wet areas only)</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29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Lighting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Adequate</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404"/>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Ventilation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Adequate</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703"/>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Toilets and hand                  </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Wash hand basins</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Accessible</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349"/>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Supplied with running potable water of at least 38</w:t>
            </w:r>
            <w:r w:rsidRPr="00C73563">
              <w:rPr>
                <w:rFonts w:ascii="Arial" w:eastAsia="Times New Roman" w:hAnsi="Arial" w:cs="Arial"/>
                <w:color w:val="212121"/>
                <w:sz w:val="14"/>
                <w:szCs w:val="18"/>
                <w:vertAlign w:val="superscript"/>
                <w:lang w:eastAsia="en-NZ"/>
              </w:rPr>
              <w:t>0 </w:t>
            </w:r>
            <w:r w:rsidRPr="00C73563">
              <w:rPr>
                <w:rFonts w:ascii="Arial" w:eastAsia="Times New Roman" w:hAnsi="Arial" w:cs="Arial"/>
                <w:color w:val="212121"/>
                <w:sz w:val="14"/>
                <w:szCs w:val="18"/>
                <w:lang w:eastAsia="en-NZ"/>
              </w:rPr>
              <w:t>C</w:t>
            </w:r>
          </w:p>
        </w:tc>
      </w:tr>
      <w:tr w:rsidR="00C73563" w:rsidRPr="00C73563" w:rsidTr="00C73563">
        <w:trPr>
          <w:trHeight w:val="456"/>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Supplied with soap and adequate drying facilities</w:t>
            </w:r>
          </w:p>
        </w:tc>
      </w:tr>
      <w:tr w:rsidR="00C73563" w:rsidRPr="00C73563" w:rsidTr="00C73563">
        <w:trPr>
          <w:trHeight w:val="173"/>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Wash hand basin</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Accessible from service area</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653"/>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before="240"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Hot and cold or tempered running water ( at least 38</w:t>
            </w:r>
            <w:r w:rsidRPr="00C73563">
              <w:rPr>
                <w:rFonts w:ascii="Arial" w:eastAsia="Times New Roman" w:hAnsi="Arial" w:cs="Arial"/>
                <w:color w:val="212121"/>
                <w:sz w:val="14"/>
                <w:szCs w:val="18"/>
                <w:vertAlign w:val="superscript"/>
                <w:lang w:eastAsia="en-NZ"/>
              </w:rPr>
              <w:t>0 </w:t>
            </w:r>
            <w:r w:rsidRPr="00C73563">
              <w:rPr>
                <w:rFonts w:ascii="Arial" w:eastAsia="Times New Roman" w:hAnsi="Arial" w:cs="Arial"/>
                <w:color w:val="212121"/>
                <w:sz w:val="14"/>
                <w:szCs w:val="18"/>
                <w:lang w:eastAsia="en-NZ"/>
              </w:rPr>
              <w:t>C)</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312"/>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Not within splash area of contaminants</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431"/>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Supplied with soap and adequate drying facilities</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162"/>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Cleaners basin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Sole purpose use</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b/>
                <w:bCs/>
                <w:color w:val="212121"/>
                <w:sz w:val="14"/>
                <w:szCs w:val="18"/>
                <w:lang w:val="en-GB" w:eastAsia="en-NZ"/>
              </w:rPr>
              <w:t> </w:t>
            </w:r>
          </w:p>
        </w:tc>
      </w:tr>
      <w:tr w:rsidR="00C73563" w:rsidRPr="00C73563" w:rsidTr="00C73563">
        <w:trPr>
          <w:trHeight w:val="26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Hot and cold or tempered running water</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r w:rsidR="00C73563" w:rsidRPr="00C73563" w:rsidTr="00C73563">
        <w:trPr>
          <w:trHeight w:val="387"/>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Equipment cleaning basin (Skin piercers only)</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Sole purpose use</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r w:rsidR="00C73563" w:rsidRPr="00C73563" w:rsidTr="00C73563">
        <w:trPr>
          <w:trHeight w:val="328"/>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Hot and cold or tempered running water</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r w:rsidR="00C73563" w:rsidRPr="00C73563" w:rsidTr="00C73563">
        <w:trPr>
          <w:trHeight w:val="915"/>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Sterilisation facilities (Skin piercers only)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Separate room provided</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Ultrasonic cleaners kept separate to sterilisation facilities designated contamination area provided;</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r w:rsidR="00C73563" w:rsidRPr="00C73563" w:rsidTr="00C73563">
        <w:trPr>
          <w:trHeight w:val="460"/>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Ultrasonic cleaners kept separate to sterilisation facilities designated contamination area provided</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r w:rsidR="00C73563" w:rsidRPr="00C73563" w:rsidTr="00C73563">
        <w:trPr>
          <w:trHeight w:val="343"/>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880" w:hanging="288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Mattresses squabs &amp;cushions</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880" w:hanging="288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provided with impervious covers</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r w:rsidR="00C73563" w:rsidRPr="00C73563" w:rsidTr="00C73563">
        <w:trPr>
          <w:trHeight w:val="269"/>
        </w:trPr>
        <w:tc>
          <w:tcPr>
            <w:tcW w:w="3742" w:type="dxa"/>
            <w:shd w:val="clear" w:color="auto" w:fill="FFFFFF"/>
            <w:tcMar>
              <w:top w:w="0" w:type="dxa"/>
              <w:left w:w="108" w:type="dxa"/>
              <w:bottom w:w="0" w:type="dxa"/>
              <w:right w:w="108" w:type="dxa"/>
            </w:tcMar>
            <w:hideMark/>
          </w:tcPr>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Staff facilities</w:t>
            </w:r>
          </w:p>
        </w:tc>
        <w:tc>
          <w:tcPr>
            <w:tcW w:w="4474" w:type="dxa"/>
            <w:shd w:val="clear" w:color="auto" w:fill="FFFFFF"/>
            <w:tcMar>
              <w:top w:w="0" w:type="dxa"/>
              <w:left w:w="108" w:type="dxa"/>
              <w:bottom w:w="0" w:type="dxa"/>
              <w:right w:w="108" w:type="dxa"/>
            </w:tcMar>
            <w:hideMark/>
          </w:tcPr>
          <w:p w:rsidR="00C73563" w:rsidRPr="00C73563" w:rsidRDefault="00C73563" w:rsidP="00C73563">
            <w:pPr>
              <w:spacing w:after="0" w:line="240" w:lineRule="auto"/>
              <w:ind w:left="2880" w:hanging="2880"/>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eastAsia="en-NZ"/>
              </w:rPr>
              <w:t>provided</w:t>
            </w:r>
          </w:p>
          <w:p w:rsidR="00C73563" w:rsidRPr="00C73563" w:rsidRDefault="00C73563" w:rsidP="00C73563">
            <w:pPr>
              <w:spacing w:after="0" w:line="240" w:lineRule="auto"/>
              <w:rPr>
                <w:rFonts w:ascii="Times New Roman" w:eastAsia="Times New Roman" w:hAnsi="Times New Roman" w:cs="Times New Roman"/>
                <w:color w:val="212121"/>
                <w:sz w:val="14"/>
                <w:szCs w:val="24"/>
                <w:lang w:eastAsia="en-NZ"/>
              </w:rPr>
            </w:pPr>
            <w:r w:rsidRPr="00C73563">
              <w:rPr>
                <w:rFonts w:ascii="Arial" w:eastAsia="Times New Roman" w:hAnsi="Arial" w:cs="Arial"/>
                <w:color w:val="212121"/>
                <w:sz w:val="14"/>
                <w:szCs w:val="18"/>
                <w:lang w:val="en-GB" w:eastAsia="en-NZ"/>
              </w:rPr>
              <w:t> </w:t>
            </w:r>
          </w:p>
        </w:tc>
      </w:tr>
    </w:tbl>
    <w:p w:rsidR="00C73563" w:rsidRPr="00C73563" w:rsidRDefault="00C73563" w:rsidP="00C73563">
      <w:pPr>
        <w:shd w:val="clear" w:color="auto" w:fill="FFFFFF"/>
        <w:spacing w:after="0" w:line="240" w:lineRule="auto"/>
        <w:rPr>
          <w:rFonts w:ascii="Times New Roman" w:eastAsia="Times New Roman" w:hAnsi="Times New Roman" w:cs="Times New Roman"/>
          <w:color w:val="212121"/>
          <w:sz w:val="24"/>
          <w:szCs w:val="24"/>
          <w:lang w:eastAsia="en-NZ"/>
        </w:rPr>
      </w:pPr>
      <w:r w:rsidRPr="00C73563">
        <w:rPr>
          <w:rFonts w:ascii="Arial" w:eastAsia="Times New Roman" w:hAnsi="Arial" w:cs="Arial"/>
          <w:color w:val="1F497D"/>
          <w:sz w:val="20"/>
          <w:szCs w:val="20"/>
          <w:lang w:eastAsia="en-NZ"/>
        </w:rPr>
        <w:t> </w:t>
      </w:r>
    </w:p>
    <w:p w:rsidR="00C73563" w:rsidRPr="00C73563" w:rsidRDefault="00C73563" w:rsidP="00C73563">
      <w:pPr>
        <w:shd w:val="clear" w:color="auto" w:fill="FFFFFF"/>
        <w:spacing w:after="0" w:line="240" w:lineRule="auto"/>
        <w:rPr>
          <w:rFonts w:ascii="Times New Roman" w:eastAsia="Times New Roman" w:hAnsi="Times New Roman" w:cs="Times New Roman"/>
          <w:color w:val="212121"/>
          <w:sz w:val="24"/>
          <w:szCs w:val="24"/>
          <w:lang w:eastAsia="en-NZ"/>
        </w:rPr>
      </w:pPr>
      <w:r w:rsidRPr="00C73563">
        <w:rPr>
          <w:rFonts w:ascii="Arial" w:eastAsia="Times New Roman" w:hAnsi="Arial" w:cs="Arial"/>
          <w:color w:val="1F497D"/>
          <w:sz w:val="20"/>
          <w:szCs w:val="20"/>
          <w:lang w:eastAsia="en-NZ"/>
        </w:rPr>
        <w:t>To answer your specific questions below, yes fabric seat covers are ok, distance to toilet is not specific, just needs to be ‘accessible’, water needs to be hot and cold and potable, parking would be a requirement under the Planning rules which is another department, please call the Council number 09 301 0101 and ask to be put through to the planning help desk.</w:t>
      </w:r>
    </w:p>
    <w:p w:rsidR="00C96A0E" w:rsidRDefault="00C96A0E"/>
    <w:sectPr w:rsidR="00C96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63"/>
    <w:rsid w:val="008C7E3D"/>
    <w:rsid w:val="00C73563"/>
    <w:rsid w:val="00C9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E5B8B-8D54-4760-9708-0497BBA4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56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C735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C7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Willis</dc:creator>
  <cp:keywords/>
  <dc:description/>
  <cp:lastModifiedBy>Amy Willis</cp:lastModifiedBy>
  <cp:revision>2</cp:revision>
  <dcterms:created xsi:type="dcterms:W3CDTF">2017-03-20T23:56:00Z</dcterms:created>
  <dcterms:modified xsi:type="dcterms:W3CDTF">2017-03-20T23:56:00Z</dcterms:modified>
</cp:coreProperties>
</file>